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EE" w:rsidRDefault="006207EE" w:rsidP="006207E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ОТЧЕТ</w:t>
      </w:r>
    </w:p>
    <w:p w:rsidR="006207EE" w:rsidRDefault="006207EE" w:rsidP="006207E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6207EE" w:rsidRDefault="006207EE" w:rsidP="006207E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ook w:val="0000"/>
      </w:tblPr>
      <w:tblGrid>
        <w:gridCol w:w="3057"/>
        <w:gridCol w:w="3018"/>
        <w:gridCol w:w="3496"/>
      </w:tblGrid>
      <w:tr w:rsidR="006207EE" w:rsidTr="0085025F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7EE" w:rsidRDefault="00E223F6" w:rsidP="00E223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апреля</w:t>
            </w:r>
            <w:r w:rsidR="006207EE">
              <w:rPr>
                <w:rFonts w:ascii="Times New Roman" w:hAnsi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3190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Абакан</w:t>
            </w:r>
          </w:p>
        </w:tc>
      </w:tr>
    </w:tbl>
    <w:p w:rsidR="006207EE" w:rsidRDefault="006207EE" w:rsidP="006207E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6207EE" w:rsidTr="0085025F">
        <w:tc>
          <w:tcPr>
            <w:tcW w:w="9571" w:type="dxa"/>
          </w:tcPr>
          <w:p w:rsidR="006207EE" w:rsidRDefault="006207EE" w:rsidP="00E223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Настоящий отчет подготовлен в соответствии с требованиями п. 2.4 </w:t>
            </w:r>
            <w:r w:rsidR="00E223F6" w:rsidRPr="00E223F6">
              <w:rPr>
                <w:rFonts w:ascii="Times New Roman" w:hAnsi="Times New Roman"/>
                <w:sz w:val="24"/>
                <w:szCs w:val="24"/>
              </w:rPr>
              <w:t xml:space="preserve">Порядка </w:t>
            </w:r>
            <w:proofErr w:type="gramStart"/>
            <w:r w:rsidR="00E223F6" w:rsidRPr="00E223F6">
              <w:rPr>
                <w:rFonts w:ascii="Times New Roman" w:hAnsi="Times New Roman"/>
                <w:sz w:val="24"/>
                <w:szCs w:val="24"/>
              </w:rPr>
              <w:t>проведения оценки регулирующего воздействия проектов нормативных правовых актов Администрации города Абакана</w:t>
            </w:r>
            <w:proofErr w:type="gramEnd"/>
            <w:r w:rsidR="00E223F6" w:rsidRPr="00E223F6">
              <w:rPr>
                <w:rFonts w:ascii="Times New Roman" w:hAnsi="Times New Roman"/>
                <w:sz w:val="24"/>
                <w:szCs w:val="24"/>
              </w:rPr>
              <w:t xml:space="preserve">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</w:t>
            </w:r>
            <w:r w:rsidR="00E223F6">
              <w:rPr>
                <w:rFonts w:ascii="Times New Roman" w:hAnsi="Times New Roman"/>
                <w:sz w:val="24"/>
                <w:szCs w:val="24"/>
              </w:rPr>
              <w:t>, утвержденного п</w:t>
            </w:r>
            <w:r w:rsidR="00E223F6" w:rsidRPr="00E223F6">
              <w:rPr>
                <w:rFonts w:ascii="Times New Roman" w:hAnsi="Times New Roman"/>
                <w:sz w:val="24"/>
                <w:szCs w:val="24"/>
              </w:rPr>
              <w:t>остановление</w:t>
            </w:r>
            <w:r w:rsidR="00E223F6">
              <w:rPr>
                <w:rFonts w:ascii="Times New Roman" w:hAnsi="Times New Roman"/>
                <w:sz w:val="24"/>
                <w:szCs w:val="24"/>
              </w:rPr>
              <w:t>м</w:t>
            </w:r>
            <w:r w:rsidR="00E223F6" w:rsidRPr="00E223F6">
              <w:rPr>
                <w:rFonts w:ascii="Times New Roman" w:hAnsi="Times New Roman"/>
                <w:sz w:val="24"/>
                <w:szCs w:val="24"/>
              </w:rPr>
              <w:t xml:space="preserve"> Администрации г</w:t>
            </w:r>
            <w:r w:rsidR="00E223F6">
              <w:rPr>
                <w:rFonts w:ascii="Times New Roman" w:hAnsi="Times New Roman"/>
                <w:sz w:val="24"/>
                <w:szCs w:val="24"/>
              </w:rPr>
              <w:t>орода</w:t>
            </w:r>
            <w:r w:rsidR="00E223F6" w:rsidRPr="00E223F6">
              <w:rPr>
                <w:rFonts w:ascii="Times New Roman" w:hAnsi="Times New Roman"/>
                <w:sz w:val="24"/>
                <w:szCs w:val="24"/>
              </w:rPr>
              <w:t xml:space="preserve"> Абакана от 31.12.2014 </w:t>
            </w:r>
            <w:r w:rsidR="00E223F6">
              <w:rPr>
                <w:rFonts w:ascii="Times New Roman" w:hAnsi="Times New Roman"/>
                <w:sz w:val="24"/>
                <w:szCs w:val="24"/>
              </w:rPr>
              <w:t>№</w:t>
            </w:r>
            <w:r w:rsidR="00E223F6" w:rsidRPr="00E223F6">
              <w:rPr>
                <w:rFonts w:ascii="Times New Roman" w:hAnsi="Times New Roman"/>
                <w:sz w:val="24"/>
                <w:szCs w:val="24"/>
              </w:rPr>
              <w:t xml:space="preserve"> 2834</w:t>
            </w:r>
            <w:r w:rsidR="00E223F6">
              <w:rPr>
                <w:rFonts w:ascii="Times New Roman" w:hAnsi="Times New Roman"/>
                <w:sz w:val="24"/>
                <w:szCs w:val="24"/>
              </w:rPr>
              <w:t>.</w:t>
            </w:r>
            <w:r w:rsidR="00E223F6" w:rsidRPr="00E2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207EE" w:rsidRDefault="006207EE" w:rsidP="006207E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0"/>
        <w:gridCol w:w="8781"/>
      </w:tblGrid>
      <w:tr w:rsidR="006207EE" w:rsidTr="001A2236">
        <w:tc>
          <w:tcPr>
            <w:tcW w:w="790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81" w:type="dxa"/>
          </w:tcPr>
          <w:p w:rsidR="006207EE" w:rsidRDefault="006207EE" w:rsidP="0085025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проекта нормативного акта:</w:t>
            </w:r>
          </w:p>
        </w:tc>
      </w:tr>
      <w:tr w:rsidR="006207EE" w:rsidTr="001A2236">
        <w:tc>
          <w:tcPr>
            <w:tcW w:w="790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1" w:type="dxa"/>
          </w:tcPr>
          <w:p w:rsidR="006207EE" w:rsidRPr="001A402C" w:rsidRDefault="00E223F6" w:rsidP="001A4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02C">
              <w:rPr>
                <w:rFonts w:ascii="Times New Roman" w:hAnsi="Times New Roman"/>
                <w:sz w:val="24"/>
                <w:szCs w:val="24"/>
              </w:rPr>
              <w:t>Постановление Администрации</w:t>
            </w:r>
            <w:r w:rsidR="006207EE" w:rsidRPr="001A402C">
              <w:rPr>
                <w:rFonts w:ascii="Times New Roman" w:hAnsi="Times New Roman"/>
                <w:sz w:val="24"/>
                <w:szCs w:val="24"/>
              </w:rPr>
              <w:t xml:space="preserve"> города Абакана «</w:t>
            </w:r>
            <w:r w:rsidR="001A402C" w:rsidRPr="001A402C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города Абакана от 11.12.2015 № 2381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</w:t>
            </w:r>
          </w:p>
        </w:tc>
      </w:tr>
    </w:tbl>
    <w:p w:rsidR="006207EE" w:rsidRDefault="006207EE" w:rsidP="006207E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"/>
        <w:gridCol w:w="8780"/>
      </w:tblGrid>
      <w:tr w:rsidR="006207EE" w:rsidTr="0085025F">
        <w:tc>
          <w:tcPr>
            <w:tcW w:w="817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6207EE" w:rsidRDefault="006207EE" w:rsidP="0085025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разработчика проекта нормативного акта:</w:t>
            </w:r>
          </w:p>
        </w:tc>
      </w:tr>
      <w:tr w:rsidR="006207EE" w:rsidTr="0085025F">
        <w:tc>
          <w:tcPr>
            <w:tcW w:w="817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207EE" w:rsidRDefault="006207EE" w:rsidP="008502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</w:p>
        </w:tc>
      </w:tr>
    </w:tbl>
    <w:p w:rsidR="006207EE" w:rsidRDefault="006207EE" w:rsidP="006207E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779"/>
      </w:tblGrid>
      <w:tr w:rsidR="006207EE" w:rsidTr="0085025F">
        <w:tc>
          <w:tcPr>
            <w:tcW w:w="817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6207EE" w:rsidRDefault="006207EE" w:rsidP="0085025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лицо (Ф.И.О., должность, телефон, адрес электронной почты):</w:t>
            </w:r>
          </w:p>
        </w:tc>
      </w:tr>
      <w:tr w:rsidR="006207EE" w:rsidTr="0085025F">
        <w:tc>
          <w:tcPr>
            <w:tcW w:w="817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207EE" w:rsidRPr="001439D6" w:rsidRDefault="006207EE" w:rsidP="008502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9D6">
              <w:rPr>
                <w:rFonts w:ascii="Times New Roman" w:hAnsi="Times New Roman"/>
                <w:sz w:val="24"/>
                <w:szCs w:val="24"/>
              </w:rPr>
              <w:t>Штань</w:t>
            </w:r>
            <w:proofErr w:type="spellEnd"/>
            <w:r w:rsidRPr="001439D6">
              <w:rPr>
                <w:rFonts w:ascii="Times New Roman" w:hAnsi="Times New Roman"/>
                <w:sz w:val="24"/>
                <w:szCs w:val="24"/>
              </w:rPr>
              <w:t xml:space="preserve"> Ксения Юрьевна – начальник отдела муниципального контроля ДГАЗ Администрации города Абакана, тел. (3902) 227595, электронная почта: </w:t>
            </w:r>
            <w:proofErr w:type="spellStart"/>
            <w:r w:rsidRPr="001439D6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r w:rsidR="00E223F6">
              <w:rPr>
                <w:rFonts w:ascii="Times New Roman" w:hAnsi="Times New Roman"/>
                <w:sz w:val="24"/>
                <w:szCs w:val="24"/>
                <w:lang w:val="en-US"/>
              </w:rPr>
              <w:t>-mk</w:t>
            </w:r>
            <w:proofErr w:type="spellEnd"/>
            <w:r w:rsidRPr="001439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@r-19.ru.</w:t>
            </w:r>
          </w:p>
        </w:tc>
      </w:tr>
    </w:tbl>
    <w:p w:rsidR="006207EE" w:rsidRDefault="006207EE" w:rsidP="006207E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8782"/>
      </w:tblGrid>
      <w:tr w:rsidR="006207EE" w:rsidTr="0085025F">
        <w:tc>
          <w:tcPr>
            <w:tcW w:w="789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782" w:type="dxa"/>
          </w:tcPr>
          <w:p w:rsidR="006207EE" w:rsidRDefault="006207EE" w:rsidP="008502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Описание проблемы, на решение которой направлено принятие нормативного акта: </w:t>
            </w:r>
          </w:p>
        </w:tc>
      </w:tr>
      <w:tr w:rsidR="006207EE" w:rsidTr="0085025F">
        <w:tc>
          <w:tcPr>
            <w:tcW w:w="789" w:type="dxa"/>
          </w:tcPr>
          <w:p w:rsidR="006207EE" w:rsidRDefault="006207EE" w:rsidP="0085025F">
            <w:pPr>
              <w:pStyle w:val="a3"/>
              <w:spacing w:before="0" w:beforeAutospacing="0" w:after="0" w:afterAutospacing="0" w:line="288" w:lineRule="atLeast"/>
              <w:jc w:val="both"/>
            </w:pPr>
          </w:p>
        </w:tc>
        <w:tc>
          <w:tcPr>
            <w:tcW w:w="8782" w:type="dxa"/>
          </w:tcPr>
          <w:p w:rsidR="009F0E3F" w:rsidRDefault="004C6594" w:rsidP="009F0E3F">
            <w:pPr>
              <w:autoSpaceDE w:val="0"/>
              <w:autoSpaceDN w:val="0"/>
              <w:adjustRightInd w:val="0"/>
              <w:spacing w:after="0" w:line="240" w:lineRule="auto"/>
              <w:ind w:firstLine="345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6594">
              <w:rPr>
                <w:rFonts w:ascii="Times New Roman" w:hAnsi="Times New Roman"/>
                <w:sz w:val="24"/>
                <w:szCs w:val="24"/>
              </w:rPr>
              <w:t xml:space="preserve">Федеральным законом от 30.01.2026 № 12-ФЗ «О внесении изменений в статьи 39.28 и 39.29 Земельного кодекса Российской Федерации и отдельные законодательные акты Российской Федерации» внесены изменения в главу Земельного кодекса РФ, регламентирующую порядок перераспределения </w:t>
            </w:r>
            <w:r w:rsidRPr="004C6594">
              <w:rPr>
                <w:rFonts w:ascii="Times New Roman" w:hAnsi="Times New Roman"/>
                <w:bCs/>
                <w:sz w:val="24"/>
                <w:szCs w:val="24"/>
              </w:rPr>
              <w:t>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вступившие в законную силу с 10.02.2026.</w:t>
            </w:r>
            <w:proofErr w:type="gramEnd"/>
          </w:p>
          <w:p w:rsidR="004C6594" w:rsidRPr="009F0E3F" w:rsidRDefault="004C6594" w:rsidP="009F0E3F">
            <w:pPr>
              <w:autoSpaceDE w:val="0"/>
              <w:autoSpaceDN w:val="0"/>
              <w:adjustRightInd w:val="0"/>
              <w:spacing w:after="0" w:line="240" w:lineRule="auto"/>
              <w:ind w:firstLine="345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Так, </w:t>
            </w:r>
            <w:r w:rsidR="00494A65">
              <w:rPr>
                <w:rFonts w:ascii="Times New Roman" w:hAnsi="Times New Roman"/>
                <w:bCs/>
                <w:sz w:val="24"/>
                <w:szCs w:val="24"/>
              </w:rPr>
              <w:t>статья 39.28</w:t>
            </w:r>
            <w:r w:rsidR="00494A65" w:rsidRPr="004C6594">
              <w:rPr>
                <w:rFonts w:ascii="Times New Roman" w:hAnsi="Times New Roman"/>
                <w:sz w:val="24"/>
                <w:szCs w:val="24"/>
              </w:rPr>
              <w:t xml:space="preserve"> Земельного кодекса РФ</w:t>
            </w:r>
            <w:r w:rsidR="00494A65">
              <w:rPr>
                <w:rFonts w:ascii="Times New Roman" w:hAnsi="Times New Roman"/>
                <w:sz w:val="24"/>
                <w:szCs w:val="24"/>
              </w:rPr>
              <w:t xml:space="preserve"> дополнилась новым случаем, при котором допускается </w:t>
            </w:r>
            <w:r w:rsidR="00494A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</w:t>
            </w:r>
            <w:r w:rsidR="009F0E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- в целях обеспечения соблюдения требований, предусмотренных </w:t>
            </w:r>
            <w:r w:rsidR="009F0E3F" w:rsidRPr="002F29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статьей 11.9 указанного кодекса</w:t>
            </w:r>
            <w:r w:rsidR="009F0E3F" w:rsidRPr="002F2907">
              <w:rPr>
                <w:rFonts w:ascii="Times New Roman" w:hAnsi="Times New Roman"/>
                <w:bCs/>
                <w:sz w:val="24"/>
                <w:szCs w:val="24"/>
              </w:rPr>
              <w:t>, в связи с чем</w:t>
            </w:r>
            <w:r w:rsidR="00494A65" w:rsidRPr="002F290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F2907">
              <w:rPr>
                <w:rFonts w:ascii="Times New Roman" w:hAnsi="Times New Roman"/>
                <w:bCs/>
                <w:sz w:val="24"/>
                <w:szCs w:val="24"/>
              </w:rPr>
              <w:t>расширен перечень оснований, когда у</w:t>
            </w:r>
            <w:r w:rsidRPr="002F29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полномоченный орган принимает решение об отказе в заключени</w:t>
            </w:r>
            <w:proofErr w:type="gramStart"/>
            <w:r w:rsidRPr="002F29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2F29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соглашения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 перераспределении земельных участков, находящихся в государственной или муниципальной собственности, и земельных участков, находящихся в частной собственности. </w:t>
            </w:r>
          </w:p>
          <w:p w:rsidR="004C6594" w:rsidRPr="004C6594" w:rsidRDefault="00BA03CE" w:rsidP="00494A65">
            <w:pPr>
              <w:autoSpaceDE w:val="0"/>
              <w:autoSpaceDN w:val="0"/>
              <w:adjustRightInd w:val="0"/>
              <w:spacing w:after="0" w:line="240" w:lineRule="auto"/>
              <w:ind w:firstLine="345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Также, утратило силу положение </w:t>
            </w:r>
            <w:r w:rsidR="00494A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пункта 4 статьи 39.28 </w:t>
            </w:r>
            <w:r w:rsidR="00494A65" w:rsidRPr="004C6594">
              <w:rPr>
                <w:rFonts w:ascii="Times New Roman" w:hAnsi="Times New Roman"/>
                <w:sz w:val="24"/>
                <w:szCs w:val="24"/>
              </w:rPr>
              <w:t>Земельного кодекса РФ</w:t>
            </w:r>
            <w:r w:rsidR="00494A65">
              <w:rPr>
                <w:rFonts w:ascii="Times New Roman" w:hAnsi="Times New Roman"/>
                <w:sz w:val="24"/>
                <w:szCs w:val="24"/>
              </w:rPr>
              <w:t xml:space="preserve">, предусматривающее обязательность приложения кадастрового паспорта к проекту </w:t>
            </w:r>
            <w:r w:rsidR="00494A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соглашения о перераспределении земельных участков. </w:t>
            </w:r>
          </w:p>
          <w:p w:rsidR="00E223F6" w:rsidRPr="00E223F6" w:rsidRDefault="00E223F6" w:rsidP="00494A65">
            <w:pPr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6594">
              <w:rPr>
                <w:rFonts w:ascii="Times New Roman" w:hAnsi="Times New Roman"/>
                <w:sz w:val="24"/>
                <w:szCs w:val="24"/>
              </w:rPr>
              <w:t>В статье 7 Федерального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 xml:space="preserve"> закона от 27.07.2010 № 210-ФЗ «Об организации</w:t>
            </w:r>
            <w:r w:rsidR="00D5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предоставления государственных и муниципальных услуг» было уточнено положение о</w:t>
            </w:r>
            <w:r w:rsidR="00D5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  <w:r w:rsidR="00D5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предоставления заявителем персональных данных лица, не</w:t>
            </w:r>
            <w:r w:rsidR="00D50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являющегося заявителем, и их обработки для предоставления муниципальной услуги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аявителю, а также было введено положение, что в случае предоставления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персональных данных лица, не являющегося заявителем, посредством единой системы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межведомственного электронного взаимодействия для исполнения полномочий</w:t>
            </w:r>
            <w:proofErr w:type="gramEnd"/>
            <w:r w:rsidRPr="00E223F6">
              <w:rPr>
                <w:rFonts w:ascii="Times New Roman" w:hAnsi="Times New Roman"/>
                <w:sz w:val="24"/>
                <w:szCs w:val="24"/>
              </w:rPr>
              <w:t xml:space="preserve"> органов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местного самоуправления по предоставлению муниципальных услуг без отображения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таких сведений для заявителя получение согласия такого лица или его законного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представителя на обработку персональных данных такого лица в указанных целях не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требуется.</w:t>
            </w:r>
          </w:p>
          <w:p w:rsidR="009F0E3F" w:rsidRPr="009F0E3F" w:rsidRDefault="00E223F6" w:rsidP="009F0E3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23F6">
              <w:rPr>
                <w:rFonts w:ascii="Times New Roman" w:hAnsi="Times New Roman"/>
                <w:sz w:val="24"/>
                <w:szCs w:val="24"/>
              </w:rPr>
              <w:t>Также в статью 7 Федерального закона № 210-ФЗ было введено положение о том,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что в случае отказа в предоставлении муниципальной услуги органы, предоставляющие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указанные услуги, информируют заявителя о причинах такого отказа с указанием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перечня документов и информации, отсутствие и (или) недостоверность которых стали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причиной отказа, а также с указанием перечня установленных федеральными законами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и (или) иными нормативными правовыми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актами требований, несоответствие</w:t>
            </w:r>
            <w:proofErr w:type="gramEnd"/>
            <w:r w:rsidRPr="00E2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223F6">
              <w:rPr>
                <w:rFonts w:ascii="Times New Roman" w:hAnsi="Times New Roman"/>
                <w:sz w:val="24"/>
                <w:szCs w:val="24"/>
              </w:rPr>
              <w:t>которым</w:t>
            </w:r>
            <w:proofErr w:type="gramEnd"/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повлекло отказ в предоставлении муниципальной услуги.</w:t>
            </w:r>
            <w:r w:rsidR="009F0E3F" w:rsidRPr="009F0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0E3F" w:rsidRPr="009F0E3F" w:rsidRDefault="00E223F6" w:rsidP="009F0E3F">
            <w:pPr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23F6">
              <w:rPr>
                <w:rFonts w:ascii="Times New Roman" w:hAnsi="Times New Roman"/>
                <w:sz w:val="24"/>
                <w:szCs w:val="24"/>
              </w:rPr>
              <w:t>Федеральным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аконом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от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24.06.2025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№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156-ФЗ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«О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создании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многофункционального сервиса обмена информацией и о внесении изменений в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отдельные законодательные акты Российской Федерации» предусмотрено, что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гражданами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Федерации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с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использованием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многофункционального сервиса обмена информацией сведений, содержащихся в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документах, удостоверяющих личность гражданина Российской Федерации, либо иных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документах,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выданных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органами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самоуправления, организациями, приравнивается к предъявлению соответствующих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документов.</w:t>
            </w:r>
            <w:proofErr w:type="gramEnd"/>
            <w:r w:rsidRPr="00E223F6">
              <w:rPr>
                <w:rFonts w:ascii="Times New Roman" w:hAnsi="Times New Roman"/>
                <w:sz w:val="24"/>
                <w:szCs w:val="24"/>
              </w:rPr>
              <w:t xml:space="preserve"> Не допускается требовать предоставления гражданами Российской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Федерации документов, удостоверяющих личность гражданина Российской Федерации,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либо иных документов, выданных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государственными органами, органами местного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самоуправления, организациями,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если сведения из таких документов предоставлены с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использованием многофункционального сервиса обмена информацией. Проверка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сведений, предоставленных гражданами Российской Федерации с использованием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многофункционального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сервиса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обмена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информацией,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осуществляется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с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использованием инфраструктур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ы, обеспечивающей информационно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технологическое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взаимодействие информац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ионных систем, используемых для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государственных и м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униципальных услуг и исполнения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государственных и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>муниципальных функций в электронной форме.</w:t>
            </w:r>
            <w:r w:rsidR="004C6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3F6">
              <w:rPr>
                <w:rFonts w:ascii="Times New Roman" w:hAnsi="Times New Roman"/>
                <w:sz w:val="24"/>
                <w:szCs w:val="24"/>
              </w:rPr>
              <w:t xml:space="preserve">Кроме того 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>исключаются положения о предоставлении муниципальной услуги в</w:t>
            </w:r>
            <w:r w:rsidR="004C6594" w:rsidRPr="009F0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>Государственном</w:t>
            </w:r>
            <w:r w:rsidR="004C6594" w:rsidRPr="009F0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>автономном</w:t>
            </w:r>
            <w:r w:rsidR="004C6594" w:rsidRPr="009F0E3F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>чреждении</w:t>
            </w:r>
            <w:r w:rsidR="004C6594" w:rsidRPr="009F0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="004C6594" w:rsidRPr="009F0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>Хакасия</w:t>
            </w:r>
            <w:r w:rsidR="004C6594" w:rsidRPr="009F0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>«Многофункциональный центр организации централизованного предоставления</w:t>
            </w:r>
            <w:r w:rsidR="00494A65" w:rsidRPr="009F0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>государственных и муниципальных услуг Республики Хакасия».</w:t>
            </w:r>
          </w:p>
          <w:p w:rsidR="009F0E3F" w:rsidRDefault="009F0E3F" w:rsidP="009F0E3F">
            <w:pPr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E3F">
              <w:rPr>
                <w:rFonts w:ascii="Times New Roman" w:hAnsi="Times New Roman"/>
                <w:sz w:val="24"/>
                <w:szCs w:val="24"/>
              </w:rPr>
              <w:t xml:space="preserve">Кроме того, </w:t>
            </w:r>
            <w:r w:rsidRPr="009F0E3F">
              <w:rPr>
                <w:rFonts w:ascii="Times New Roman" w:hAnsi="Times New Roman"/>
                <w:bCs/>
                <w:sz w:val="24"/>
                <w:szCs w:val="24"/>
              </w:rPr>
              <w:t>уточнен п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>орядок предоставления результатов государственной или муниципальной услуги в отношении несовершеннолетнего.</w:t>
            </w:r>
          </w:p>
          <w:p w:rsidR="009F0E3F" w:rsidRPr="009F0E3F" w:rsidRDefault="009F0E3F" w:rsidP="009F0E3F">
            <w:pPr>
              <w:spacing w:after="0" w:line="240" w:lineRule="auto"/>
              <w:ind w:firstLine="3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E3F">
              <w:rPr>
                <w:rFonts w:ascii="Times New Roman" w:hAnsi="Times New Roman"/>
                <w:sz w:val="24"/>
                <w:szCs w:val="24"/>
              </w:rPr>
              <w:t xml:space="preserve">Учитывая вышеизложенное, необходимо внести соответствующие изменения в Административный регламент предоставления муниципальной услуги </w:t>
            </w:r>
            <w:r w:rsidRPr="009F0E3F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 w:rsidRPr="009F0E3F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Pr="009F0E3F">
              <w:rPr>
                <w:rFonts w:ascii="Times New Roman" w:hAnsi="Times New Roman"/>
                <w:sz w:val="24"/>
                <w:szCs w:val="24"/>
              </w:rPr>
              <w:t xml:space="preserve"> и тем самым привести его в соответствие</w:t>
            </w:r>
          </w:p>
          <w:p w:rsidR="006207EE" w:rsidRPr="001A2236" w:rsidRDefault="009F0E3F" w:rsidP="001A22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E3F">
              <w:rPr>
                <w:rFonts w:ascii="Times New Roman" w:hAnsi="Times New Roman"/>
                <w:sz w:val="24"/>
                <w:szCs w:val="24"/>
              </w:rPr>
              <w:t>действующему федеральному законодательству.</w:t>
            </w:r>
          </w:p>
        </w:tc>
      </w:tr>
    </w:tbl>
    <w:p w:rsidR="006207EE" w:rsidRDefault="006207EE" w:rsidP="006207E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814"/>
      </w:tblGrid>
      <w:tr w:rsidR="006207EE" w:rsidTr="0085025F">
        <w:tc>
          <w:tcPr>
            <w:tcW w:w="792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814" w:type="dxa"/>
          </w:tcPr>
          <w:p w:rsidR="006207EE" w:rsidRDefault="006207EE" w:rsidP="008502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Вариант (варианты) решения проблемы и цель регулирования (принятия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нормативного акта):</w:t>
            </w:r>
          </w:p>
        </w:tc>
      </w:tr>
      <w:tr w:rsidR="006207EE" w:rsidRPr="00F950C2" w:rsidTr="006207EE">
        <w:trPr>
          <w:trHeight w:val="841"/>
        </w:trPr>
        <w:tc>
          <w:tcPr>
            <w:tcW w:w="792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</w:tcPr>
          <w:p w:rsidR="006207EE" w:rsidRPr="009F0E3F" w:rsidRDefault="006207EE" w:rsidP="001A4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E3F">
              <w:rPr>
                <w:rFonts w:ascii="Times New Roman" w:hAnsi="Times New Roman"/>
                <w:sz w:val="24"/>
                <w:szCs w:val="24"/>
              </w:rPr>
              <w:t xml:space="preserve">Внесение изменений в </w:t>
            </w:r>
            <w:r w:rsidR="001A402C">
              <w:rPr>
                <w:rFonts w:ascii="Times New Roman" w:hAnsi="Times New Roman"/>
                <w:sz w:val="24"/>
                <w:szCs w:val="24"/>
              </w:rPr>
              <w:t>п</w:t>
            </w:r>
            <w:r w:rsidR="009F0E3F" w:rsidRPr="009F0E3F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города Абакана </w:t>
            </w:r>
            <w:r w:rsidR="001A402C" w:rsidRPr="001A402C">
              <w:rPr>
                <w:rFonts w:ascii="Times New Roman" w:hAnsi="Times New Roman"/>
                <w:sz w:val="24"/>
                <w:szCs w:val="24"/>
              </w:rPr>
              <w:t>от 11.12.2015 № 2381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  <w:r w:rsidR="001A40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207EE" w:rsidRDefault="006207EE" w:rsidP="006207E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814"/>
      </w:tblGrid>
      <w:tr w:rsidR="006207EE" w:rsidTr="0085025F">
        <w:tc>
          <w:tcPr>
            <w:tcW w:w="792" w:type="dxa"/>
            <w:tcBorders>
              <w:bottom w:val="single" w:sz="4" w:space="0" w:color="auto"/>
            </w:tcBorders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:rsidR="006207EE" w:rsidRDefault="006207EE" w:rsidP="008502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группы участников отношений, интересы которых будут затронуты принятием нормативного акта:</w:t>
            </w:r>
          </w:p>
        </w:tc>
      </w:tr>
      <w:tr w:rsidR="006207EE" w:rsidRPr="00F950C2" w:rsidTr="0085025F">
        <w:tc>
          <w:tcPr>
            <w:tcW w:w="792" w:type="dxa"/>
            <w:tcBorders>
              <w:bottom w:val="single" w:sz="4" w:space="0" w:color="auto"/>
            </w:tcBorders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:rsidR="006207EE" w:rsidRPr="00F950C2" w:rsidRDefault="006207EE" w:rsidP="009F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Юридические лица, индивидуальные предприниматели и граждане, заинтересованные в </w:t>
            </w:r>
            <w:r w:rsidR="009F0E3F">
              <w:rPr>
                <w:rFonts w:ascii="Times New Roman" w:hAnsi="Times New Roman"/>
                <w:sz w:val="24"/>
                <w:szCs w:val="24"/>
              </w:rPr>
              <w:t xml:space="preserve">предоставлении муниципальной услуги </w:t>
            </w:r>
            <w:r w:rsidR="009F0E3F" w:rsidRPr="009F0E3F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9F0E3F" w:rsidRPr="009F0E3F">
              <w:rPr>
                <w:rFonts w:ascii="Times New Roman" w:hAnsi="Times New Roman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 w:rsidR="009F0E3F" w:rsidRPr="009F0E3F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207EE" w:rsidTr="0085025F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07EE" w:rsidRDefault="006207EE" w:rsidP="008502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7EE" w:rsidTr="0085025F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EE" w:rsidRDefault="006207EE" w:rsidP="008502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6207EE" w:rsidTr="0085025F">
        <w:tc>
          <w:tcPr>
            <w:tcW w:w="792" w:type="dxa"/>
            <w:tcBorders>
              <w:top w:val="single" w:sz="4" w:space="0" w:color="auto"/>
            </w:tcBorders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auto"/>
            </w:tcBorders>
          </w:tcPr>
          <w:p w:rsidR="006207EE" w:rsidRDefault="006207EE" w:rsidP="008502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</w:tr>
    </w:tbl>
    <w:p w:rsidR="006207EE" w:rsidRDefault="006207EE" w:rsidP="006207E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8778"/>
      </w:tblGrid>
      <w:tr w:rsidR="006207EE" w:rsidTr="0085025F">
        <w:tc>
          <w:tcPr>
            <w:tcW w:w="817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214" w:type="dxa"/>
          </w:tcPr>
          <w:p w:rsidR="006207EE" w:rsidRDefault="006207EE" w:rsidP="008502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расходов и доходов бюджета города Абакана:</w:t>
            </w:r>
          </w:p>
        </w:tc>
      </w:tr>
      <w:tr w:rsidR="006207EE" w:rsidTr="0085025F">
        <w:tc>
          <w:tcPr>
            <w:tcW w:w="817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207EE" w:rsidRDefault="006207EE" w:rsidP="0085025F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>Принятие данного нормативного акта не повлечет расходов и доходов бюджета города Абакана.</w:t>
            </w:r>
          </w:p>
        </w:tc>
      </w:tr>
    </w:tbl>
    <w:p w:rsidR="006207EE" w:rsidRDefault="006207EE" w:rsidP="006207E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8782"/>
      </w:tblGrid>
      <w:tr w:rsidR="006207EE" w:rsidTr="0085025F">
        <w:tc>
          <w:tcPr>
            <w:tcW w:w="817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214" w:type="dxa"/>
          </w:tcPr>
          <w:p w:rsidR="006207EE" w:rsidRDefault="006207EE" w:rsidP="008502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Новые обязанности, запреты или ограничения для субъектов предпринимательской и иной экономической деятельности:</w:t>
            </w:r>
          </w:p>
        </w:tc>
      </w:tr>
      <w:tr w:rsidR="006207EE" w:rsidTr="0085025F">
        <w:tc>
          <w:tcPr>
            <w:tcW w:w="817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207EE" w:rsidRDefault="006207EE" w:rsidP="008502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предусматриваются.</w:t>
            </w:r>
          </w:p>
        </w:tc>
      </w:tr>
    </w:tbl>
    <w:p w:rsidR="006207EE" w:rsidRDefault="006207EE" w:rsidP="006207E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7"/>
        <w:gridCol w:w="8774"/>
      </w:tblGrid>
      <w:tr w:rsidR="006207EE" w:rsidTr="0085025F">
        <w:tc>
          <w:tcPr>
            <w:tcW w:w="817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214" w:type="dxa"/>
          </w:tcPr>
          <w:p w:rsidR="006207EE" w:rsidRDefault="006207EE" w:rsidP="008502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дополнительных расходов субъектов предпринимательской и иной экономической деятельности:</w:t>
            </w:r>
          </w:p>
        </w:tc>
      </w:tr>
      <w:tr w:rsidR="006207EE" w:rsidTr="0085025F">
        <w:tc>
          <w:tcPr>
            <w:tcW w:w="817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207EE" w:rsidRDefault="006207EE" w:rsidP="008502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Каких-либо дополнительных расходов субъектов предпринимательской и иной экономической деятельности принятие данного нормативного акта не повлечет. </w:t>
            </w:r>
          </w:p>
        </w:tc>
      </w:tr>
    </w:tbl>
    <w:p w:rsidR="006207EE" w:rsidRDefault="006207EE" w:rsidP="006207E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8"/>
        <w:gridCol w:w="8773"/>
      </w:tblGrid>
      <w:tr w:rsidR="006207EE" w:rsidTr="0085025F">
        <w:tc>
          <w:tcPr>
            <w:tcW w:w="817" w:type="dxa"/>
          </w:tcPr>
          <w:p w:rsidR="006207EE" w:rsidRDefault="006207EE" w:rsidP="008502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214" w:type="dxa"/>
          </w:tcPr>
          <w:p w:rsidR="006207EE" w:rsidRDefault="006207EE" w:rsidP="008502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Выводы об обоснованности предлагаемого регулирования</w:t>
            </w:r>
          </w:p>
        </w:tc>
      </w:tr>
      <w:tr w:rsidR="006207EE" w:rsidRPr="00F950C2" w:rsidTr="0085025F">
        <w:tc>
          <w:tcPr>
            <w:tcW w:w="817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207EE" w:rsidRPr="007203BD" w:rsidRDefault="006207EE" w:rsidP="007203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 w:rsidRPr="007203BD">
              <w:rPr>
                <w:rFonts w:ascii="Times New Roman" w:hAnsi="Times New Roman"/>
                <w:sz w:val="24"/>
                <w:szCs w:val="24"/>
              </w:rPr>
              <w:t xml:space="preserve">Принятие данного нормативного акта </w:t>
            </w:r>
            <w:r w:rsidR="009F0E3F" w:rsidRPr="007203BD">
              <w:rPr>
                <w:rFonts w:ascii="Times New Roman" w:hAnsi="Times New Roman"/>
                <w:color w:val="34343C"/>
                <w:sz w:val="24"/>
                <w:szCs w:val="24"/>
              </w:rPr>
              <w:t xml:space="preserve">приведет </w:t>
            </w:r>
            <w:r w:rsidR="007203BD" w:rsidRPr="007203BD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Абакана </w:t>
            </w:r>
            <w:r w:rsidR="001A402C" w:rsidRPr="001A402C">
              <w:rPr>
                <w:rFonts w:ascii="Times New Roman" w:hAnsi="Times New Roman"/>
                <w:sz w:val="24"/>
                <w:szCs w:val="24"/>
              </w:rPr>
              <w:t>от 11.12.2015 № 2381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  <w:r w:rsidR="001A402C">
              <w:rPr>
                <w:rFonts w:ascii="Times New Roman" w:hAnsi="Times New Roman"/>
                <w:sz w:val="24"/>
                <w:szCs w:val="24"/>
              </w:rPr>
              <w:t>»</w:t>
            </w:r>
            <w:r w:rsidR="001A402C" w:rsidRPr="001A4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0E3F" w:rsidRPr="009F0E3F">
              <w:rPr>
                <w:rFonts w:ascii="Times New Roman" w:hAnsi="Times New Roman"/>
                <w:sz w:val="24"/>
                <w:szCs w:val="24"/>
              </w:rPr>
              <w:t>в соответствие</w:t>
            </w:r>
            <w:r w:rsidR="007203BD" w:rsidRPr="00720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0E3F" w:rsidRPr="009F0E3F">
              <w:rPr>
                <w:rFonts w:ascii="Times New Roman" w:hAnsi="Times New Roman"/>
                <w:sz w:val="24"/>
                <w:szCs w:val="24"/>
              </w:rPr>
              <w:t>действующему федеральному законодательству</w:t>
            </w:r>
            <w:r w:rsidR="007203BD" w:rsidRPr="007203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207EE" w:rsidRDefault="006207EE" w:rsidP="006207E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3"/>
        <w:gridCol w:w="8803"/>
      </w:tblGrid>
      <w:tr w:rsidR="006207EE" w:rsidTr="0085025F">
        <w:tc>
          <w:tcPr>
            <w:tcW w:w="803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803" w:type="dxa"/>
          </w:tcPr>
          <w:p w:rsidR="006207EE" w:rsidRDefault="006207EE" w:rsidP="008502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и сроки принятия предложений (замечаний, мнений) по проекту:</w:t>
            </w:r>
          </w:p>
        </w:tc>
      </w:tr>
      <w:tr w:rsidR="006207EE" w:rsidRPr="00F950C2" w:rsidTr="0085025F">
        <w:tc>
          <w:tcPr>
            <w:tcW w:w="803" w:type="dxa"/>
          </w:tcPr>
          <w:p w:rsidR="006207EE" w:rsidRDefault="006207EE" w:rsidP="008502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3" w:type="dxa"/>
          </w:tcPr>
          <w:p w:rsidR="006207EE" w:rsidRPr="00F950C2" w:rsidRDefault="006207EE" w:rsidP="0085025F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 xml:space="preserve">Предложения принимаются по электронной почте на адрес </w:t>
            </w:r>
            <w:r>
              <w:br/>
            </w:r>
            <w:proofErr w:type="spellStart"/>
            <w:r w:rsidRPr="001439D6">
              <w:rPr>
                <w:lang w:val="en-US"/>
              </w:rPr>
              <w:t>dgaz</w:t>
            </w:r>
            <w:proofErr w:type="spellEnd"/>
            <w:r w:rsidR="007203BD">
              <w:t>-</w:t>
            </w:r>
            <w:proofErr w:type="spellStart"/>
            <w:r w:rsidR="007203BD">
              <w:rPr>
                <w:lang w:val="en-US"/>
              </w:rPr>
              <w:t>mk</w:t>
            </w:r>
            <w:proofErr w:type="spellEnd"/>
            <w:r w:rsidRPr="001439D6">
              <w:rPr>
                <w:shd w:val="clear" w:color="auto" w:fill="FFFFFF"/>
              </w:rPr>
              <w:t>@r-19.ru.</w:t>
            </w:r>
            <w:r>
              <w:t>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</w:t>
            </w:r>
            <w:r w:rsidRPr="00F950C2">
              <w:t>.</w:t>
            </w:r>
          </w:p>
        </w:tc>
      </w:tr>
    </w:tbl>
    <w:p w:rsidR="006207EE" w:rsidRDefault="006207EE" w:rsidP="006207E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594" w:type="dxa"/>
        <w:tblLook w:val="0000"/>
      </w:tblPr>
      <w:tblGrid>
        <w:gridCol w:w="4361"/>
        <w:gridCol w:w="3260"/>
        <w:gridCol w:w="1973"/>
      </w:tblGrid>
      <w:tr w:rsidR="006207EE" w:rsidTr="0085025F">
        <w:tc>
          <w:tcPr>
            <w:tcW w:w="4361" w:type="dxa"/>
          </w:tcPr>
          <w:p w:rsidR="006207EE" w:rsidRDefault="006207EE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ДГАЗ </w:t>
            </w:r>
          </w:p>
          <w:p w:rsidR="006207EE" w:rsidRPr="00F950C2" w:rsidRDefault="006207EE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 Абакана</w:t>
            </w:r>
          </w:p>
        </w:tc>
        <w:tc>
          <w:tcPr>
            <w:tcW w:w="3260" w:type="dxa"/>
          </w:tcPr>
          <w:p w:rsidR="006207EE" w:rsidRDefault="006207EE" w:rsidP="0085025F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6207EE" w:rsidRDefault="006207EE" w:rsidP="0085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EE1F03" w:rsidRPr="007203BD" w:rsidRDefault="00EE1F03">
      <w:pPr>
        <w:rPr>
          <w:lang w:val="en-US"/>
        </w:rPr>
      </w:pPr>
    </w:p>
    <w:sectPr w:rsidR="00EE1F03" w:rsidRPr="007203BD" w:rsidSect="00183CBE">
      <w:pgSz w:w="11906" w:h="16838"/>
      <w:pgMar w:top="69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207EE"/>
    <w:rsid w:val="000F357C"/>
    <w:rsid w:val="00183CBE"/>
    <w:rsid w:val="001A2236"/>
    <w:rsid w:val="001A402C"/>
    <w:rsid w:val="002F2907"/>
    <w:rsid w:val="002F600B"/>
    <w:rsid w:val="00494A65"/>
    <w:rsid w:val="004B0672"/>
    <w:rsid w:val="004C6594"/>
    <w:rsid w:val="00545FD2"/>
    <w:rsid w:val="005E3FA2"/>
    <w:rsid w:val="0061048A"/>
    <w:rsid w:val="006207EE"/>
    <w:rsid w:val="00671C64"/>
    <w:rsid w:val="00716DEA"/>
    <w:rsid w:val="007203BD"/>
    <w:rsid w:val="00761666"/>
    <w:rsid w:val="009C5924"/>
    <w:rsid w:val="009F0E3F"/>
    <w:rsid w:val="00A429A7"/>
    <w:rsid w:val="00AA1E75"/>
    <w:rsid w:val="00AB0D88"/>
    <w:rsid w:val="00B768F5"/>
    <w:rsid w:val="00BA03CE"/>
    <w:rsid w:val="00C27275"/>
    <w:rsid w:val="00CA253E"/>
    <w:rsid w:val="00D50121"/>
    <w:rsid w:val="00D57E53"/>
    <w:rsid w:val="00E14B6C"/>
    <w:rsid w:val="00E223F6"/>
    <w:rsid w:val="00EE1F03"/>
    <w:rsid w:val="00FB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EE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6207E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7EE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6207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207E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AA376-C791-4278-ABA5-15C911A9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KsenyaSht</cp:lastModifiedBy>
  <cp:revision>8</cp:revision>
  <dcterms:created xsi:type="dcterms:W3CDTF">2026-02-24T09:55:00Z</dcterms:created>
  <dcterms:modified xsi:type="dcterms:W3CDTF">2026-04-07T10:56:00Z</dcterms:modified>
</cp:coreProperties>
</file>